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67538">
        <w:rPr>
          <w:b/>
          <w:sz w:val="24"/>
          <w:szCs w:val="24"/>
          <w:u w:val="single"/>
        </w:rPr>
        <w:t xml:space="preserve">от </w:t>
      </w:r>
      <w:r w:rsidR="009706C2">
        <w:rPr>
          <w:b/>
          <w:sz w:val="24"/>
          <w:szCs w:val="24"/>
          <w:u w:val="single"/>
        </w:rPr>
        <w:t>14</w:t>
      </w:r>
      <w:r w:rsidR="00617D41" w:rsidRPr="00B67538">
        <w:rPr>
          <w:b/>
          <w:sz w:val="24"/>
          <w:szCs w:val="24"/>
          <w:u w:val="single"/>
        </w:rPr>
        <w:t xml:space="preserve"> </w:t>
      </w:r>
      <w:r w:rsidR="009706C2">
        <w:rPr>
          <w:b/>
          <w:sz w:val="24"/>
          <w:szCs w:val="24"/>
          <w:u w:val="single"/>
        </w:rPr>
        <w:t>но</w:t>
      </w:r>
      <w:r w:rsidR="00C71532" w:rsidRPr="00B67538">
        <w:rPr>
          <w:b/>
          <w:sz w:val="24"/>
          <w:szCs w:val="24"/>
          <w:u w:val="single"/>
        </w:rPr>
        <w:t>ября</w:t>
      </w:r>
      <w:r w:rsidR="00FA292C" w:rsidRPr="00B67538">
        <w:rPr>
          <w:b/>
          <w:sz w:val="24"/>
          <w:szCs w:val="24"/>
          <w:u w:val="single"/>
        </w:rPr>
        <w:t xml:space="preserve"> </w:t>
      </w:r>
      <w:r w:rsidRPr="00B67538">
        <w:rPr>
          <w:b/>
          <w:sz w:val="24"/>
          <w:szCs w:val="24"/>
          <w:u w:val="single"/>
        </w:rPr>
        <w:t>20</w:t>
      </w:r>
      <w:r w:rsidR="00B61B2B" w:rsidRPr="00B67538">
        <w:rPr>
          <w:b/>
          <w:sz w:val="24"/>
          <w:szCs w:val="24"/>
          <w:u w:val="single"/>
        </w:rPr>
        <w:t>2</w:t>
      </w:r>
      <w:r w:rsidR="00BA0F1E" w:rsidRPr="00B67538">
        <w:rPr>
          <w:b/>
          <w:sz w:val="24"/>
          <w:szCs w:val="24"/>
          <w:u w:val="single"/>
        </w:rPr>
        <w:t>3</w:t>
      </w:r>
      <w:r w:rsidRPr="00B67538">
        <w:rPr>
          <w:b/>
          <w:sz w:val="24"/>
          <w:szCs w:val="24"/>
          <w:u w:val="single"/>
        </w:rPr>
        <w:t xml:space="preserve"> года</w:t>
      </w:r>
      <w:r w:rsidRPr="00B67538">
        <w:rPr>
          <w:b/>
          <w:sz w:val="24"/>
          <w:szCs w:val="24"/>
        </w:rPr>
        <w:t xml:space="preserve">                                        </w:t>
      </w:r>
      <w:r w:rsidR="00DE20DA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                 </w:t>
      </w:r>
      <w:r w:rsidR="00BE1F2D" w:rsidRPr="00B67538">
        <w:rPr>
          <w:b/>
          <w:sz w:val="24"/>
          <w:szCs w:val="24"/>
        </w:rPr>
        <w:t xml:space="preserve">       </w:t>
      </w:r>
      <w:r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  </w:t>
      </w:r>
      <w:r w:rsidR="00DD307D"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</w:t>
      </w:r>
      <w:r w:rsidRPr="00B67538">
        <w:rPr>
          <w:b/>
          <w:sz w:val="24"/>
          <w:szCs w:val="24"/>
        </w:rPr>
        <w:t xml:space="preserve">   </w:t>
      </w:r>
      <w:r w:rsidR="00BA0F1E" w:rsidRPr="00B67538">
        <w:rPr>
          <w:b/>
          <w:sz w:val="24"/>
          <w:szCs w:val="24"/>
        </w:rPr>
        <w:t xml:space="preserve">   </w:t>
      </w:r>
      <w:r w:rsidR="009706C2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 </w:t>
      </w:r>
      <w:r w:rsidR="00D47CD8" w:rsidRPr="00B67538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</w:t>
      </w:r>
      <w:r w:rsidRPr="00B67538">
        <w:rPr>
          <w:b/>
          <w:sz w:val="24"/>
          <w:szCs w:val="24"/>
          <w:u w:val="single"/>
        </w:rPr>
        <w:t xml:space="preserve">№ </w:t>
      </w:r>
      <w:r w:rsidR="00683D44" w:rsidRPr="00B67538">
        <w:rPr>
          <w:b/>
          <w:sz w:val="24"/>
          <w:szCs w:val="24"/>
          <w:u w:val="single"/>
        </w:rPr>
        <w:t>1</w:t>
      </w:r>
      <w:r w:rsidR="009706C2">
        <w:rPr>
          <w:b/>
          <w:sz w:val="24"/>
          <w:szCs w:val="24"/>
          <w:u w:val="single"/>
        </w:rPr>
        <w:t>1</w:t>
      </w:r>
      <w:r w:rsidRPr="00B67538">
        <w:rPr>
          <w:b/>
          <w:sz w:val="24"/>
          <w:szCs w:val="24"/>
          <w:u w:val="single"/>
        </w:rPr>
        <w:t>/</w:t>
      </w:r>
      <w:r w:rsidR="00683D44" w:rsidRPr="00B67538">
        <w:rPr>
          <w:b/>
          <w:sz w:val="24"/>
          <w:szCs w:val="24"/>
          <w:u w:val="single"/>
        </w:rPr>
        <w:t>1</w:t>
      </w:r>
      <w:r w:rsidR="001F4855" w:rsidRPr="00B67538">
        <w:rPr>
          <w:b/>
          <w:sz w:val="24"/>
          <w:szCs w:val="24"/>
          <w:u w:val="single"/>
        </w:rPr>
        <w:t>2</w:t>
      </w:r>
      <w:r w:rsidR="009706C2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706C2" w:rsidRPr="00B04C08" w:rsidRDefault="009706C2" w:rsidP="009706C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B04C08">
        <w:rPr>
          <w:rFonts w:eastAsia="Calibri"/>
          <w:bCs/>
          <w:sz w:val="24"/>
          <w:szCs w:val="24"/>
        </w:rPr>
        <w:t>»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 согласно приложени</w:t>
      </w:r>
      <w:r>
        <w:rPr>
          <w:sz w:val="24"/>
          <w:szCs w:val="24"/>
        </w:rPr>
        <w:t>я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3</w:t>
      </w:r>
      <w:r>
        <w:rPr>
          <w:sz w:val="24"/>
          <w:szCs w:val="24"/>
        </w:rPr>
        <w:t>0</w:t>
      </w:r>
      <w:r w:rsidRPr="001F3E4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1F3E43">
        <w:rPr>
          <w:sz w:val="24"/>
          <w:szCs w:val="24"/>
        </w:rPr>
        <w:t>.20</w:t>
      </w:r>
      <w:r>
        <w:rPr>
          <w:sz w:val="24"/>
          <w:szCs w:val="24"/>
        </w:rPr>
        <w:t>19 № 8</w:t>
      </w:r>
      <w:r w:rsidRPr="001F3E43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1F3E43">
        <w:rPr>
          <w:sz w:val="24"/>
          <w:szCs w:val="24"/>
        </w:rPr>
        <w:t>4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»;</w:t>
      </w:r>
    </w:p>
    <w:p w:rsidR="009706C2" w:rsidRPr="001F3E43" w:rsidRDefault="009706C2" w:rsidP="009706C2">
      <w:pPr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>- от 0</w:t>
      </w:r>
      <w:r>
        <w:rPr>
          <w:sz w:val="24"/>
          <w:szCs w:val="24"/>
        </w:rPr>
        <w:t>3</w:t>
      </w:r>
      <w:r w:rsidRPr="001F3E43">
        <w:rPr>
          <w:sz w:val="24"/>
          <w:szCs w:val="24"/>
        </w:rPr>
        <w:t>.06.2022 № 6/</w:t>
      </w:r>
      <w:r>
        <w:rPr>
          <w:sz w:val="24"/>
          <w:szCs w:val="24"/>
        </w:rPr>
        <w:t>65</w:t>
      </w:r>
      <w:r w:rsidRPr="001F3E43">
        <w:rPr>
          <w:sz w:val="24"/>
          <w:szCs w:val="24"/>
        </w:rPr>
        <w:t xml:space="preserve"> «</w:t>
      </w:r>
      <w:r w:rsidRPr="000A6167">
        <w:rPr>
          <w:bCs/>
          <w:sz w:val="24"/>
          <w:szCs w:val="24"/>
        </w:rPr>
        <w:t>О внесении изменени</w:t>
      </w:r>
      <w:r>
        <w:rPr>
          <w:bCs/>
          <w:sz w:val="24"/>
          <w:szCs w:val="24"/>
        </w:rPr>
        <w:t xml:space="preserve">я </w:t>
      </w:r>
      <w:r w:rsidRPr="000A6167">
        <w:rPr>
          <w:bCs/>
          <w:sz w:val="24"/>
          <w:szCs w:val="24"/>
        </w:rPr>
        <w:t>в постановление администрации сельского поселения «Куниб» от 30.08.2019 № 8/44</w:t>
      </w:r>
      <w:r>
        <w:rPr>
          <w:bCs/>
          <w:sz w:val="24"/>
          <w:szCs w:val="24"/>
        </w:rPr>
        <w:t xml:space="preserve"> </w:t>
      </w:r>
      <w:r w:rsidRPr="000A6167">
        <w:rPr>
          <w:bCs/>
          <w:sz w:val="24"/>
          <w:szCs w:val="24"/>
        </w:rPr>
        <w:t>«</w:t>
      </w:r>
      <w:r w:rsidRPr="000A6167">
        <w:rPr>
          <w:sz w:val="24"/>
          <w:szCs w:val="24"/>
        </w:rPr>
        <w:t>Об утверждении административного регламента предоставления муниципальной услуги «Выдача выписки из похозяйственной книги</w:t>
      </w:r>
      <w:r w:rsidRPr="000A6167">
        <w:rPr>
          <w:rFonts w:eastAsia="Calibri"/>
          <w:bCs/>
          <w:sz w:val="24"/>
          <w:szCs w:val="24"/>
        </w:rPr>
        <w:t>»</w:t>
      </w:r>
      <w:r w:rsidRPr="001F3E43">
        <w:rPr>
          <w:sz w:val="24"/>
          <w:szCs w:val="24"/>
        </w:rPr>
        <w:t>.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Pr="00644024">
        <w:rPr>
          <w:rFonts w:ascii="Times New Roman" w:hAnsi="Times New Roman" w:cs="Times New Roman"/>
          <w:sz w:val="24"/>
          <w:szCs w:val="24"/>
        </w:rPr>
        <w:t>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lastRenderedPageBreak/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 xml:space="preserve">от </w:t>
      </w:r>
      <w:r w:rsidR="009706C2">
        <w:rPr>
          <w:rFonts w:eastAsiaTheme="minorEastAsia"/>
          <w:bCs/>
        </w:rPr>
        <w:t>14</w:t>
      </w:r>
      <w:r w:rsidR="00B67538">
        <w:rPr>
          <w:rFonts w:eastAsiaTheme="minorEastAsia"/>
          <w:bCs/>
        </w:rPr>
        <w:t>.1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.2023</w:t>
      </w:r>
      <w:r w:rsidRPr="00754D2C">
        <w:rPr>
          <w:rFonts w:eastAsiaTheme="minorEastAsia"/>
          <w:bCs/>
        </w:rPr>
        <w:t xml:space="preserve"> № </w:t>
      </w:r>
      <w:r w:rsidR="00B67538">
        <w:rPr>
          <w:rFonts w:eastAsiaTheme="minorEastAsia"/>
          <w:bCs/>
        </w:rPr>
        <w:t>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/12</w:t>
      </w:r>
      <w:r w:rsidR="009706C2">
        <w:rPr>
          <w:rFonts w:eastAsiaTheme="minorEastAsia"/>
          <w:bCs/>
        </w:rPr>
        <w:t>7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>Выдача выписки из похозяйственной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предоставления муниципальной услуги по </w:t>
      </w:r>
    </w:p>
    <w:p w:rsidR="009706C2" w:rsidRPr="009706C2" w:rsidRDefault="009706C2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 w:rsidRPr="009706C2">
        <w:rPr>
          <w:b/>
          <w:sz w:val="24"/>
          <w:szCs w:val="24"/>
        </w:rPr>
        <w:t>выдаче выписки из похозяйственной книги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>Выдача выписки из похозяйственной книги</w:t>
      </w:r>
      <w:r w:rsidRPr="009706C2">
        <w:rPr>
          <w:sz w:val="24"/>
          <w:szCs w:val="24"/>
        </w:rPr>
        <w:t xml:space="preserve"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</w:t>
      </w:r>
      <w:r w:rsidRPr="009706C2">
        <w:rPr>
          <w:rFonts w:eastAsiaTheme="minorEastAsia"/>
          <w:sz w:val="24"/>
          <w:szCs w:val="24"/>
        </w:rPr>
        <w:lastRenderedPageBreak/>
        <w:t>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похозяйственной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lastRenderedPageBreak/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706C2">
        <w:rPr>
          <w:sz w:val="24"/>
          <w:szCs w:val="24"/>
        </w:rPr>
        <w:t>(</w:t>
      </w:r>
      <w:r w:rsidRPr="009706C2">
        <w:rPr>
          <w:rFonts w:eastAsiaTheme="minorEastAsia"/>
          <w:sz w:val="24"/>
          <w:szCs w:val="24"/>
        </w:rPr>
        <w:t>«</w:t>
      </w:r>
      <w:hyperlink r:id="rId9" w:tgtFrame="_blank" w:history="1">
        <w:r w:rsidRPr="009706C2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706C2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706C2">
        <w:rPr>
          <w:rFonts w:eastAsiaTheme="minorEastAsia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9706C2" w:rsidRDefault="009706C2" w:rsidP="009706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запросе указывается: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 w:themeColor="text1"/>
          <w:sz w:val="24"/>
          <w:szCs w:val="24"/>
        </w:rPr>
        <w:t>2) вид справки;</w:t>
      </w:r>
    </w:p>
    <w:p w:rsidR="009706C2" w:rsidRPr="009706C2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9706C2">
        <w:rPr>
          <w:sz w:val="24"/>
          <w:szCs w:val="24"/>
        </w:rPr>
        <w:t xml:space="preserve">3) </w:t>
      </w:r>
      <w:r w:rsidRPr="009706C2">
        <w:rPr>
          <w:color w:val="000000" w:themeColor="text1"/>
          <w:sz w:val="24"/>
          <w:szCs w:val="24"/>
        </w:rPr>
        <w:t xml:space="preserve">перечень прилагаемых к запросу документов;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>5) почтовый адрес, подпись заявителя (представителя заявителя).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Формы запросов </w:t>
      </w:r>
      <w:r w:rsidRPr="009706C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9706C2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- сведений о физическом лице, размещенных в единой системе идентификации и </w:t>
      </w:r>
      <w:r w:rsidRPr="009706C2">
        <w:rPr>
          <w:rFonts w:eastAsiaTheme="minorEastAsia"/>
          <w:sz w:val="24"/>
          <w:szCs w:val="24"/>
        </w:rPr>
        <w:lastRenderedPageBreak/>
        <w:t>аутентификации, в порядке, установленном Правительством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9706C2">
        <w:rPr>
          <w:sz w:val="24"/>
          <w:szCs w:val="24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9" w:name="Par178"/>
      <w:bookmarkEnd w:id="9"/>
      <w:r w:rsidRPr="009706C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не указаны фамилия гражданина, направившего заявление, или почтовый адрес, по которому должен быть направлен ответ;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Pr="009706C2">
        <w:rPr>
          <w:sz w:val="24"/>
          <w:szCs w:val="24"/>
        </w:rPr>
        <w:lastRenderedPageBreak/>
        <w:t>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</w:t>
      </w:r>
      <w:r w:rsidRPr="009706C2">
        <w:rPr>
          <w:rFonts w:eastAsia="Calibri"/>
          <w:sz w:val="24"/>
          <w:szCs w:val="24"/>
        </w:rPr>
        <w:lastRenderedPageBreak/>
        <w:t>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выдача выписки из похозяйственной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 xml:space="preserve">почтовый адрес </w:t>
      </w:r>
      <w:r w:rsidRPr="009706C2">
        <w:rPr>
          <w:sz w:val="24"/>
          <w:szCs w:val="24"/>
        </w:rPr>
        <w:lastRenderedPageBreak/>
        <w:t>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3.6.1 </w:t>
      </w:r>
      <w:r w:rsidRPr="009706C2">
        <w:rPr>
          <w:rFonts w:eastAsiaTheme="minorEastAsia"/>
          <w:sz w:val="24"/>
          <w:szCs w:val="24"/>
        </w:rPr>
        <w:lastRenderedPageBreak/>
        <w:t>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9706C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3.14.1. Исчерпывающий перечень документов, необходимых в соответствии с </w:t>
      </w:r>
      <w:r w:rsidRPr="009706C2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9706C2">
        <w:rPr>
          <w:rFonts w:eastAsiaTheme="minorEastAsia"/>
          <w:sz w:val="24"/>
          <w:szCs w:val="24"/>
        </w:rPr>
        <w:lastRenderedPageBreak/>
        <w:t xml:space="preserve">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</w:t>
      </w:r>
      <w:r w:rsidRPr="009706C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1499"/>
        <w:gridCol w:w="320"/>
        <w:gridCol w:w="505"/>
        <w:gridCol w:w="459"/>
        <w:gridCol w:w="377"/>
        <w:gridCol w:w="350"/>
        <w:gridCol w:w="300"/>
        <w:gridCol w:w="238"/>
        <w:gridCol w:w="262"/>
        <w:gridCol w:w="290"/>
        <w:gridCol w:w="906"/>
        <w:gridCol w:w="1057"/>
        <w:gridCol w:w="1282"/>
        <w:gridCol w:w="1303"/>
        <w:gridCol w:w="358"/>
        <w:gridCol w:w="344"/>
        <w:gridCol w:w="176"/>
      </w:tblGrid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1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1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7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lastRenderedPageBreak/>
              <w:t>Приложение 2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 xml:space="preserve">Выдача выписки 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>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1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1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</w:t>
                        </w:r>
                        <w:bookmarkStart w:id="18" w:name="_GoBack"/>
                        <w:bookmarkEnd w:id="18"/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 xml:space="preserve">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br w:type="page"/>
            </w: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1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4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>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>выпиской из похозяйственной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>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>«Выдача выписки из похозяйственной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AE5" w:rsidRDefault="00434AE5" w:rsidP="005243CC">
      <w:r>
        <w:separator/>
      </w:r>
    </w:p>
  </w:endnote>
  <w:endnote w:type="continuationSeparator" w:id="0">
    <w:p w:rsidR="00434AE5" w:rsidRDefault="00434AE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AE5" w:rsidRDefault="00434AE5" w:rsidP="005243CC">
      <w:r>
        <w:separator/>
      </w:r>
    </w:p>
  </w:footnote>
  <w:footnote w:type="continuationSeparator" w:id="0">
    <w:p w:rsidR="00434AE5" w:rsidRDefault="00434AE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AE4A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67FDA-0448-4CC6-9CFC-078AC90D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34</Pages>
  <Words>12760</Words>
  <Characters>72738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204</cp:revision>
  <cp:lastPrinted>2023-09-28T11:17:00Z</cp:lastPrinted>
  <dcterms:created xsi:type="dcterms:W3CDTF">2018-08-29T12:32:00Z</dcterms:created>
  <dcterms:modified xsi:type="dcterms:W3CDTF">2023-11-15T07:44:00Z</dcterms:modified>
</cp:coreProperties>
</file>