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2E1D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72E1D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</w:t>
      </w:r>
      <w:r w:rsidR="00172E1D">
        <w:rPr>
          <w:b/>
          <w:sz w:val="24"/>
          <w:szCs w:val="24"/>
        </w:rPr>
        <w:t xml:space="preserve">    </w:t>
      </w:r>
      <w:r w:rsidR="00BA0F1E">
        <w:rPr>
          <w:b/>
          <w:sz w:val="24"/>
          <w:szCs w:val="24"/>
        </w:rPr>
        <w:t xml:space="preserve">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72E1D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72E1D">
        <w:rPr>
          <w:b/>
          <w:sz w:val="24"/>
          <w:szCs w:val="24"/>
          <w:u w:val="single"/>
        </w:rPr>
        <w:t>30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Pr="00B04C08" w:rsidRDefault="00172E1D" w:rsidP="00EC5AA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2819AC">
        <w:rPr>
          <w:rFonts w:eastAsia="Calibri"/>
          <w:bCs/>
          <w:sz w:val="24"/>
          <w:szCs w:val="24"/>
        </w:rPr>
        <w:t xml:space="preserve"> (в редакции постановления от 28.09.2023 № 9/96</w:t>
      </w:r>
      <w:r w:rsidR="00472D1B">
        <w:rPr>
          <w:rFonts w:eastAsia="Calibri"/>
          <w:bCs/>
          <w:sz w:val="24"/>
          <w:szCs w:val="24"/>
        </w:rPr>
        <w:t>, от 10.07.2024 № 7/44)</w:t>
      </w:r>
    </w:p>
    <w:p w:rsidR="00172E1D" w:rsidRPr="002A5C0B" w:rsidRDefault="00172E1D" w:rsidP="00172E1D">
      <w:pPr>
        <w:ind w:firstLine="708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</w:t>
      </w:r>
      <w:r w:rsidR="00D5601E">
        <w:rPr>
          <w:sz w:val="24"/>
          <w:szCs w:val="24"/>
        </w:rPr>
        <w:t>я</w:t>
      </w:r>
      <w:r w:rsidRPr="00EC5AA2">
        <w:rPr>
          <w:sz w:val="24"/>
          <w:szCs w:val="24"/>
        </w:rPr>
        <w:t xml:space="preserve">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от 10.03.2021 № 3/22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фонда»;</w:t>
      </w:r>
    </w:p>
    <w:p w:rsidR="00172E1D" w:rsidRPr="00EC5AA2" w:rsidRDefault="00172E1D" w:rsidP="00EC5AA2">
      <w:pPr>
        <w:keepNext/>
        <w:keepLines/>
        <w:ind w:firstLine="567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- от 06.06.2022 № 6/74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EC5AA2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C5AA2">
        <w:rPr>
          <w:sz w:val="24"/>
          <w:szCs w:val="24"/>
        </w:rPr>
        <w:t>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фонда».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72E1D" w:rsidRDefault="00172E1D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«Куниб</w:t>
      </w:r>
      <w:r w:rsidRPr="007971DF">
        <w:t>»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13.03.2023</w:t>
      </w:r>
      <w:r w:rsidRPr="007971DF">
        <w:rPr>
          <w:bCs/>
        </w:rPr>
        <w:t xml:space="preserve"> </w:t>
      </w:r>
      <w:r w:rsidR="00EC5AA2">
        <w:rPr>
          <w:bCs/>
        </w:rPr>
        <w:t>№ 3/30</w:t>
      </w:r>
      <w:r w:rsidRPr="007971DF">
        <w:t xml:space="preserve"> 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муниципальной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жилых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по 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предоставлению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lastRenderedPageBreak/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EC5AA2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2819AC" w:rsidRPr="00E525B6">
        <w:rPr>
          <w:rFonts w:eastAsiaTheme="minorEastAsia"/>
          <w:sz w:val="24"/>
          <w:szCs w:val="24"/>
        </w:rPr>
        <w:t>«</w:t>
      </w:r>
      <w:hyperlink r:id="rId9" w:tgtFrame="_blank" w:history="1">
        <w:r w:rsidR="002819AC" w:rsidRPr="00E525B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2819AC" w:rsidRPr="00E525B6">
        <w:rPr>
          <w:rFonts w:eastAsiaTheme="minorEastAsia"/>
          <w:sz w:val="24"/>
          <w:szCs w:val="24"/>
        </w:rPr>
        <w:t>»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C5AA2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запросе указывается: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адрес жилого помещения;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2E1D" w:rsidRPr="002819AC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получения </w:t>
      </w:r>
      <w:r w:rsidRPr="002819AC">
        <w:rPr>
          <w:rFonts w:eastAsia="Calibri"/>
          <w:sz w:val="24"/>
          <w:szCs w:val="24"/>
        </w:rPr>
        <w:t>результата – по электронной почте), подпись заявителя (представителя заявителя).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Форма запроса о предоставлении муниципальной услуги приведена в приложении 1 к настоящем Административному регламенту.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</w:t>
      </w:r>
    </w:p>
    <w:p w:rsidR="00172E1D" w:rsidRPr="002819AC" w:rsidRDefault="00172E1D" w:rsidP="002819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AC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EC5AA2" w:rsidRPr="002819AC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19AC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</w:t>
      </w:r>
      <w:r>
        <w:rPr>
          <w:rFonts w:eastAsiaTheme="minorEastAsia"/>
          <w:sz w:val="24"/>
          <w:szCs w:val="24"/>
        </w:rPr>
        <w:t>Российской Федерации.</w:t>
      </w:r>
    </w:p>
    <w:p w:rsidR="00172E1D" w:rsidRPr="00EC5AA2" w:rsidRDefault="00172E1D" w:rsidP="002819A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2) </w:t>
      </w:r>
      <w:r w:rsidRPr="00EC5AA2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B71586" w:rsidRDefault="002819AC" w:rsidP="00EC5AA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Для представителя </w:t>
      </w:r>
      <w:r w:rsidRPr="00EC5AA2">
        <w:rPr>
          <w:sz w:val="24"/>
          <w:szCs w:val="24"/>
        </w:rPr>
        <w:t>физического лица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2819AC" w:rsidRDefault="002819AC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2.8.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2.9.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C5AA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2.12.1.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наличие в представленных документах </w:t>
      </w:r>
      <w:r w:rsidR="00EC5AA2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EC5AA2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регламента.</w:t>
      </w:r>
    </w:p>
    <w:p w:rsidR="002819AC" w:rsidRDefault="002819AC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«Ростехинвентаризация-Федеральное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Росреестру.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lastRenderedPageBreak/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E525B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="00472D1B"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3.19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</w:t>
      </w:r>
      <w:r w:rsidRPr="00E525B6">
        <w:rPr>
          <w:rFonts w:eastAsiaTheme="minorEastAsia"/>
          <w:sz w:val="24"/>
          <w:szCs w:val="24"/>
        </w:rPr>
        <w:lastRenderedPageBreak/>
        <w:t>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ab/>
      </w: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E525B6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EC5AA2">
        <w:rPr>
          <w:b/>
          <w:sz w:val="24"/>
          <w:szCs w:val="24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</w:t>
      </w:r>
      <w:r w:rsidRPr="00EC5AA2">
        <w:rPr>
          <w:sz w:val="24"/>
          <w:szCs w:val="24"/>
        </w:rPr>
        <w:lastRenderedPageBreak/>
        <w:t>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16491" w:rsidRDefault="00516491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16491" w:rsidRDefault="00516491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16491" w:rsidRDefault="00516491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16491" w:rsidRDefault="00516491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6" w:name="_GoBack"/>
      <w:bookmarkEnd w:id="16"/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C6" w:rsidRDefault="00FC6BC6" w:rsidP="005243CC">
      <w:r>
        <w:separator/>
      </w:r>
    </w:p>
  </w:endnote>
  <w:endnote w:type="continuationSeparator" w:id="0">
    <w:p w:rsidR="00FC6BC6" w:rsidRDefault="00FC6BC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C6" w:rsidRDefault="00FC6BC6" w:rsidP="005243CC">
      <w:r>
        <w:separator/>
      </w:r>
    </w:p>
  </w:footnote>
  <w:footnote w:type="continuationSeparator" w:id="0">
    <w:p w:rsidR="00FC6BC6" w:rsidRDefault="00FC6BC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19A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2D1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16491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549"/>
    <w:rsid w:val="00F72BDE"/>
    <w:rsid w:val="00F94975"/>
    <w:rsid w:val="00FA292C"/>
    <w:rsid w:val="00FA6D24"/>
    <w:rsid w:val="00FB32CD"/>
    <w:rsid w:val="00FC6BC6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57A9"/>
  <w15:docId w15:val="{878A2DED-9EEE-480F-B0AB-9FE83082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0ABB0-8064-409B-8CEC-81936B53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39</Pages>
  <Words>14761</Words>
  <Characters>84139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154</cp:revision>
  <cp:lastPrinted>2023-02-28T06:10:00Z</cp:lastPrinted>
  <dcterms:created xsi:type="dcterms:W3CDTF">2018-08-29T12:32:00Z</dcterms:created>
  <dcterms:modified xsi:type="dcterms:W3CDTF">2024-07-16T10:45:00Z</dcterms:modified>
</cp:coreProperties>
</file>