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36D24">
        <w:rPr>
          <w:b/>
          <w:sz w:val="24"/>
          <w:szCs w:val="24"/>
          <w:u w:val="single"/>
        </w:rPr>
        <w:t xml:space="preserve">от </w:t>
      </w:r>
      <w:r w:rsidR="00E36D24">
        <w:rPr>
          <w:b/>
          <w:sz w:val="24"/>
          <w:szCs w:val="24"/>
          <w:u w:val="single"/>
        </w:rPr>
        <w:t>16</w:t>
      </w:r>
      <w:r w:rsidR="00617D41" w:rsidRPr="00E36D24">
        <w:rPr>
          <w:b/>
          <w:sz w:val="24"/>
          <w:szCs w:val="24"/>
          <w:u w:val="single"/>
        </w:rPr>
        <w:t xml:space="preserve"> </w:t>
      </w:r>
      <w:r w:rsidR="00E36D24">
        <w:rPr>
          <w:b/>
          <w:sz w:val="24"/>
          <w:szCs w:val="24"/>
          <w:u w:val="single"/>
        </w:rPr>
        <w:t>декаб</w:t>
      </w:r>
      <w:r w:rsidR="005E4D90" w:rsidRPr="00E36D24">
        <w:rPr>
          <w:b/>
          <w:sz w:val="24"/>
          <w:szCs w:val="24"/>
          <w:u w:val="single"/>
        </w:rPr>
        <w:t>р</w:t>
      </w:r>
      <w:r w:rsidR="004B4D70" w:rsidRPr="00E36D24">
        <w:rPr>
          <w:b/>
          <w:sz w:val="24"/>
          <w:szCs w:val="24"/>
          <w:u w:val="single"/>
        </w:rPr>
        <w:t>я</w:t>
      </w:r>
      <w:r w:rsidR="00FA292C" w:rsidRPr="00E36D24">
        <w:rPr>
          <w:b/>
          <w:sz w:val="24"/>
          <w:szCs w:val="24"/>
          <w:u w:val="single"/>
        </w:rPr>
        <w:t xml:space="preserve"> </w:t>
      </w:r>
      <w:r w:rsidRPr="00E36D24">
        <w:rPr>
          <w:b/>
          <w:sz w:val="24"/>
          <w:szCs w:val="24"/>
          <w:u w:val="single"/>
        </w:rPr>
        <w:t>20</w:t>
      </w:r>
      <w:r w:rsidR="00B61B2B" w:rsidRPr="00E36D24">
        <w:rPr>
          <w:b/>
          <w:sz w:val="24"/>
          <w:szCs w:val="24"/>
          <w:u w:val="single"/>
        </w:rPr>
        <w:t>2</w:t>
      </w:r>
      <w:r w:rsidR="000E7D6C" w:rsidRPr="00E36D24">
        <w:rPr>
          <w:b/>
          <w:sz w:val="24"/>
          <w:szCs w:val="24"/>
          <w:u w:val="single"/>
        </w:rPr>
        <w:t>2</w:t>
      </w:r>
      <w:r w:rsidRPr="00E36D24">
        <w:rPr>
          <w:b/>
          <w:sz w:val="24"/>
          <w:szCs w:val="24"/>
          <w:u w:val="single"/>
        </w:rPr>
        <w:t xml:space="preserve"> года</w:t>
      </w:r>
      <w:r w:rsidRPr="00E36D24">
        <w:rPr>
          <w:b/>
          <w:sz w:val="24"/>
          <w:szCs w:val="24"/>
        </w:rPr>
        <w:t xml:space="preserve">                                        </w:t>
      </w:r>
      <w:r w:rsidR="00DE20DA"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</w:rPr>
        <w:t xml:space="preserve">                   </w:t>
      </w:r>
      <w:r w:rsidR="00BE1F2D" w:rsidRPr="00E36D24">
        <w:rPr>
          <w:b/>
          <w:sz w:val="24"/>
          <w:szCs w:val="24"/>
        </w:rPr>
        <w:t xml:space="preserve">       </w:t>
      </w:r>
      <w:r w:rsidRPr="00E36D24">
        <w:rPr>
          <w:b/>
          <w:sz w:val="24"/>
          <w:szCs w:val="24"/>
        </w:rPr>
        <w:t xml:space="preserve">     </w:t>
      </w:r>
      <w:r w:rsidR="00F20DD4" w:rsidRPr="00E36D24">
        <w:rPr>
          <w:b/>
          <w:sz w:val="24"/>
          <w:szCs w:val="24"/>
        </w:rPr>
        <w:t xml:space="preserve">    </w:t>
      </w:r>
      <w:r w:rsidRPr="00E36D24">
        <w:rPr>
          <w:b/>
          <w:sz w:val="24"/>
          <w:szCs w:val="24"/>
        </w:rPr>
        <w:t xml:space="preserve"> </w:t>
      </w:r>
      <w:r w:rsidR="000E7D6C" w:rsidRPr="00E36D24">
        <w:rPr>
          <w:b/>
          <w:sz w:val="24"/>
          <w:szCs w:val="24"/>
        </w:rPr>
        <w:t xml:space="preserve">     </w:t>
      </w:r>
      <w:r w:rsidRPr="00E36D24">
        <w:rPr>
          <w:b/>
          <w:sz w:val="24"/>
          <w:szCs w:val="24"/>
        </w:rPr>
        <w:t xml:space="preserve">          </w:t>
      </w:r>
      <w:r w:rsidR="00C121BA" w:rsidRPr="00E36D24">
        <w:rPr>
          <w:b/>
          <w:sz w:val="24"/>
          <w:szCs w:val="24"/>
        </w:rPr>
        <w:t xml:space="preserve">   </w:t>
      </w:r>
      <w:r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  <w:u w:val="single"/>
        </w:rPr>
        <w:t xml:space="preserve">№ </w:t>
      </w:r>
      <w:r w:rsidR="00227CA5" w:rsidRPr="00E36D24">
        <w:rPr>
          <w:b/>
          <w:sz w:val="24"/>
          <w:szCs w:val="24"/>
          <w:u w:val="single"/>
        </w:rPr>
        <w:t>1</w:t>
      </w:r>
      <w:r w:rsidR="00E36D24">
        <w:rPr>
          <w:b/>
          <w:sz w:val="24"/>
          <w:szCs w:val="24"/>
          <w:u w:val="single"/>
        </w:rPr>
        <w:t>2</w:t>
      </w:r>
      <w:r w:rsidRPr="00E36D24">
        <w:rPr>
          <w:b/>
          <w:sz w:val="24"/>
          <w:szCs w:val="24"/>
          <w:u w:val="single"/>
        </w:rPr>
        <w:t>/</w:t>
      </w:r>
      <w:r w:rsidR="004B4D70" w:rsidRPr="00E36D24">
        <w:rPr>
          <w:b/>
          <w:sz w:val="24"/>
          <w:szCs w:val="24"/>
          <w:u w:val="single"/>
        </w:rPr>
        <w:t>1</w:t>
      </w:r>
      <w:r w:rsidR="00E36D24">
        <w:rPr>
          <w:b/>
          <w:sz w:val="24"/>
          <w:szCs w:val="24"/>
          <w:u w:val="single"/>
        </w:rPr>
        <w:t>66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1C5F46" w:rsidRDefault="007D5B99" w:rsidP="007D5B99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5B5B7E">
        <w:rPr>
          <w:bCs/>
          <w:sz w:val="24"/>
          <w:szCs w:val="24"/>
        </w:rPr>
        <w:t>(в редакции постановлени</w:t>
      </w:r>
      <w:r w:rsidR="0041282C">
        <w:rPr>
          <w:bCs/>
          <w:sz w:val="24"/>
          <w:szCs w:val="24"/>
        </w:rPr>
        <w:t>й</w:t>
      </w:r>
      <w:r w:rsidR="005B5B7E">
        <w:rPr>
          <w:bCs/>
          <w:sz w:val="24"/>
          <w:szCs w:val="24"/>
        </w:rPr>
        <w:t xml:space="preserve"> от 27.04.2023 № 4/56</w:t>
      </w:r>
      <w:r w:rsidR="0041282C">
        <w:rPr>
          <w:bCs/>
          <w:sz w:val="24"/>
          <w:szCs w:val="24"/>
        </w:rPr>
        <w:t>, от 25.10.2023 № 10/117</w:t>
      </w:r>
      <w:r w:rsidR="003A4181">
        <w:rPr>
          <w:bCs/>
          <w:sz w:val="24"/>
          <w:szCs w:val="24"/>
        </w:rPr>
        <w:t>, от 30.10.2023 № 10/119</w:t>
      </w:r>
      <w:r w:rsidR="00F13D31">
        <w:rPr>
          <w:bCs/>
          <w:sz w:val="24"/>
          <w:szCs w:val="24"/>
        </w:rPr>
        <w:t>, от 14.02.2025 № 2/37</w:t>
      </w:r>
      <w:r w:rsidR="005B5B7E">
        <w:rPr>
          <w:bCs/>
          <w:sz w:val="24"/>
          <w:szCs w:val="24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>» согласно приложени</w:t>
      </w:r>
      <w:r w:rsidR="0041282C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7D5B99" w:rsidRPr="004F74C9" w:rsidRDefault="007D5B99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81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bCs/>
          <w:sz w:val="24"/>
          <w:szCs w:val="24"/>
        </w:rPr>
        <w:t xml:space="preserve">Согласование </w:t>
      </w:r>
      <w:r>
        <w:rPr>
          <w:bCs/>
          <w:sz w:val="24"/>
          <w:szCs w:val="24"/>
        </w:rPr>
        <w:t xml:space="preserve">проведения </w:t>
      </w:r>
      <w:r w:rsidRPr="001F09D2">
        <w:rPr>
          <w:bCs/>
          <w:sz w:val="24"/>
          <w:szCs w:val="24"/>
        </w:rPr>
        <w:t>переустройства и (или) перепланировки помещения в многоквартирном доме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7D5B99" w:rsidRPr="00DC5A72" w:rsidRDefault="007D5B99" w:rsidP="007D5B99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7D5B99" w:rsidP="007D5B99">
      <w:pPr>
        <w:shd w:val="clear" w:color="auto" w:fill="FFFFFF"/>
        <w:jc w:val="right"/>
      </w:pPr>
      <w:r w:rsidRPr="003A4181">
        <w:t>сельского поселения «Куниб»</w:t>
      </w:r>
      <w:r w:rsidRPr="003A4181">
        <w:rPr>
          <w:bCs/>
        </w:rPr>
        <w:t xml:space="preserve"> от </w:t>
      </w:r>
      <w:r w:rsidR="00E36D24" w:rsidRPr="003A4181">
        <w:rPr>
          <w:bCs/>
        </w:rPr>
        <w:t>16.12.2022</w:t>
      </w:r>
      <w:r w:rsidRPr="003A4181">
        <w:t xml:space="preserve"> № </w:t>
      </w:r>
      <w:r w:rsidR="00E36D24" w:rsidRPr="003A4181">
        <w:t>12/166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C456DF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r w:rsidRPr="00D26BEE">
        <w:rPr>
          <w:sz w:val="24"/>
          <w:szCs w:val="24"/>
        </w:rPr>
        <w:t xml:space="preserve"> При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hyperlink r:id="rId10" w:tgtFrame="_blank" w:history="1">
        <w:r w:rsidR="00983638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bookmarkStart w:id="8" w:name="Par147"/>
      <w:bookmarkEnd w:id="8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Форма заявления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2.7. При предоставлении муниципальной услуги запрещается: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13D31" w:rsidRDefault="00F13D31" w:rsidP="00F13D31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F13D31" w:rsidRDefault="00F13D31" w:rsidP="00F13D3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7D5B99" w:rsidRPr="007D5B99" w:rsidRDefault="007D5B99" w:rsidP="00F13D3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Default="00F13D31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EastAsia"/>
          <w:bCs/>
          <w:sz w:val="24"/>
          <w:szCs w:val="24"/>
        </w:rPr>
      </w:pPr>
      <w:r w:rsidRPr="00F13D31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F13D31" w:rsidRPr="007D5B99" w:rsidRDefault="00F13D31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7D5B99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7D5B99">
              <w:rPr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>2.19. 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lastRenderedPageBreak/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lastRenderedPageBreak/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</w:t>
      </w:r>
      <w:r w:rsidRPr="007D5B99">
        <w:rPr>
          <w:rFonts w:eastAsia="Calibri"/>
          <w:sz w:val="24"/>
          <w:szCs w:val="24"/>
          <w:lang w:eastAsia="en-US"/>
        </w:rPr>
        <w:lastRenderedPageBreak/>
        <w:t>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</w:t>
      </w:r>
      <w:r w:rsidRPr="000E1656">
        <w:rPr>
          <w:rFonts w:eastAsia="Calibri"/>
          <w:sz w:val="24"/>
          <w:szCs w:val="24"/>
        </w:rPr>
        <w:lastRenderedPageBreak/>
        <w:t xml:space="preserve">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1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</w:t>
      </w:r>
      <w:r w:rsidRPr="000E1656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2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0E1656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</w:t>
      </w:r>
      <w:r w:rsidRPr="000E1656">
        <w:rPr>
          <w:rFonts w:eastAsia="Calibri"/>
          <w:sz w:val="24"/>
          <w:szCs w:val="24"/>
        </w:rPr>
        <w:lastRenderedPageBreak/>
        <w:t>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3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4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5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6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lastRenderedPageBreak/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7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 xml:space="preserve">а </w:t>
      </w:r>
      <w:r w:rsidRPr="000E1656">
        <w:rPr>
          <w:rFonts w:eastAsiaTheme="minorEastAsia"/>
          <w:sz w:val="24"/>
          <w:szCs w:val="24"/>
        </w:rPr>
        <w:lastRenderedPageBreak/>
        <w:t>также документы, предусмотренные пунктом 3.16.1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8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lastRenderedPageBreak/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</w:t>
      </w:r>
      <w:r w:rsidRPr="000E1656">
        <w:rPr>
          <w:rFonts w:eastAsia="Calibri"/>
          <w:sz w:val="24"/>
          <w:szCs w:val="24"/>
        </w:rPr>
        <w:lastRenderedPageBreak/>
        <w:t xml:space="preserve">собственной инициативе.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</w:t>
      </w:r>
      <w:r w:rsidRPr="0036416F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36416F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8B4494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</w:t>
      </w:r>
      <w:r w:rsidRPr="008B4494">
        <w:rPr>
          <w:rFonts w:eastAsiaTheme="minorEastAsia"/>
          <w:sz w:val="24"/>
          <w:szCs w:val="24"/>
        </w:rPr>
        <w:lastRenderedPageBreak/>
        <w:t>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ЕГРЮЛ о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8B4494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7D5B99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r w:rsidRPr="007D5B9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</w:t>
      </w:r>
      <w:r w:rsidRPr="007D5B99">
        <w:rPr>
          <w:rFonts w:eastAsia="Calibri"/>
          <w:sz w:val="24"/>
          <w:szCs w:val="24"/>
        </w:rPr>
        <w:lastRenderedPageBreak/>
        <w:t>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4.7. </w:t>
      </w:r>
      <w:r w:rsidRPr="007D5B9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7126A" w:rsidRPr="000A13C1" w:rsidRDefault="00E7126A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7D2FED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площадь объекта, кв.м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заключении4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8C3DF5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Контактные </w:t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D55" w:rsidRDefault="00B14D55" w:rsidP="005243CC">
      <w:r>
        <w:separator/>
      </w:r>
    </w:p>
  </w:endnote>
  <w:endnote w:type="continuationSeparator" w:id="0">
    <w:p w:rsidR="00B14D55" w:rsidRDefault="00B14D5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D55" w:rsidRDefault="00B14D55" w:rsidP="005243CC">
      <w:r>
        <w:separator/>
      </w:r>
    </w:p>
  </w:footnote>
  <w:footnote w:type="continuationSeparator" w:id="0">
    <w:p w:rsidR="00B14D55" w:rsidRDefault="00B14D5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67B4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14D55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126A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D31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A853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E5420-F891-4A0D-9C38-6EC9C2B6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26309</Words>
  <Characters>149965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186</cp:revision>
  <cp:lastPrinted>2022-10-24T11:33:00Z</cp:lastPrinted>
  <dcterms:created xsi:type="dcterms:W3CDTF">2018-08-29T12:32:00Z</dcterms:created>
  <dcterms:modified xsi:type="dcterms:W3CDTF">2025-02-17T10:36:00Z</dcterms:modified>
</cp:coreProperties>
</file>